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010" w:rsidRPr="00FD3D2A" w:rsidRDefault="00375010" w:rsidP="00FD3D2A">
      <w:pPr>
        <w:spacing w:line="240" w:lineRule="auto"/>
        <w:rPr>
          <w:rFonts w:ascii="Times New Roman" w:hAnsi="Times New Roman"/>
          <w:b/>
          <w:smallCaps/>
        </w:rPr>
      </w:pPr>
      <w:r w:rsidRPr="00FD3D2A">
        <w:rPr>
          <w:rFonts w:ascii="Times New Roman" w:hAnsi="Times New Roman"/>
        </w:rPr>
        <w:t>Listed below are some possible areas of supervision for the SIRE PhD studentship. This is in no way intended to be exhaustive. Other ideas are certainly encouraged.</w:t>
      </w:r>
    </w:p>
    <w:p w:rsidR="00375010" w:rsidRPr="00FD3D2A" w:rsidRDefault="00375010" w:rsidP="00FD3D2A">
      <w:pPr>
        <w:spacing w:line="240" w:lineRule="auto"/>
        <w:jc w:val="center"/>
        <w:rPr>
          <w:rFonts w:ascii="Times New Roman" w:hAnsi="Times New Roman"/>
          <w:b/>
          <w:smallCaps/>
        </w:rPr>
      </w:pPr>
    </w:p>
    <w:p w:rsidR="00375010" w:rsidRPr="00FD3D2A" w:rsidRDefault="00375010" w:rsidP="00511E48">
      <w:pPr>
        <w:spacing w:line="240" w:lineRule="auto"/>
        <w:rPr>
          <w:rFonts w:ascii="Times New Roman" w:hAnsi="Times New Roman"/>
          <w:b/>
          <w:smallCaps/>
        </w:rPr>
      </w:pPr>
      <w:r w:rsidRPr="00FD3D2A">
        <w:rPr>
          <w:rFonts w:ascii="Times New Roman" w:hAnsi="Times New Roman"/>
          <w:b/>
          <w:smallCaps/>
        </w:rPr>
        <w:t>Employment Status Effects on Health and Retirement Decisions</w:t>
      </w:r>
    </w:p>
    <w:p w:rsidR="00375010" w:rsidRPr="001B585F" w:rsidRDefault="00375010" w:rsidP="00511E48">
      <w:pPr>
        <w:spacing w:line="240" w:lineRule="auto"/>
        <w:rPr>
          <w:rFonts w:ascii="Times New Roman" w:hAnsi="Times New Roman"/>
        </w:rPr>
      </w:pPr>
      <w:r w:rsidRPr="00FD3D2A">
        <w:rPr>
          <w:rFonts w:ascii="Times New Roman" w:hAnsi="Times New Roman"/>
          <w:color w:val="000000"/>
        </w:rPr>
        <w:t xml:space="preserve">As the population age, and the "baby boomers" generation approaches retirement, policy makers are searching for solutions to the challenges raised by ageing societies. </w:t>
      </w:r>
      <w:r w:rsidRPr="00FD3D2A">
        <w:rPr>
          <w:rFonts w:ascii="Times New Roman" w:hAnsi="Times New Roman"/>
        </w:rPr>
        <w:t xml:space="preserve">This project aims to investigate the health consequences of employment experiences. The effect of different work arrangements (full-time/part-time, temporary/permanent and the like and other work characteristics) on mental and physical health will be investigated. </w:t>
      </w:r>
      <w:r w:rsidRPr="00FD3D2A">
        <w:rPr>
          <w:rFonts w:ascii="Times New Roman" w:hAnsi="Times New Roman"/>
          <w:color w:val="000000"/>
        </w:rPr>
        <w:t xml:space="preserve">The research proposed here will also address two further general areas. First, it will investigate the decision to retire early in the </w:t>
      </w:r>
      <w:smartTag w:uri="urn:schemas-microsoft-com:office:smarttags" w:element="place">
        <w:smartTag w:uri="urn:schemas-microsoft-com:office:smarttags" w:element="country-region">
          <w:r w:rsidRPr="00FD3D2A">
            <w:rPr>
              <w:rFonts w:ascii="Times New Roman" w:hAnsi="Times New Roman"/>
              <w:color w:val="000000"/>
            </w:rPr>
            <w:t>UK</w:t>
          </w:r>
        </w:smartTag>
      </w:smartTag>
      <w:r w:rsidRPr="00FD3D2A">
        <w:rPr>
          <w:rFonts w:ascii="Times New Roman" w:hAnsi="Times New Roman"/>
          <w:color w:val="000000"/>
        </w:rPr>
        <w:t xml:space="preserve">. Second, it will model and study early and normal retirees' physical and mental health. </w:t>
      </w:r>
      <w:r w:rsidRPr="00FD3D2A">
        <w:rPr>
          <w:rFonts w:ascii="Times New Roman" w:hAnsi="Times New Roman"/>
        </w:rPr>
        <w:t>The use of the Health Survey of England-</w:t>
      </w:r>
      <w:r w:rsidRPr="001B585F">
        <w:rPr>
          <w:rFonts w:ascii="Times New Roman" w:hAnsi="Times New Roman"/>
        </w:rPr>
        <w:t>Scotland is envisaged.</w:t>
      </w:r>
    </w:p>
    <w:p w:rsidR="00375010" w:rsidRPr="001B585F" w:rsidRDefault="00375010" w:rsidP="00FD3D2A">
      <w:pPr>
        <w:spacing w:line="240" w:lineRule="auto"/>
        <w:jc w:val="both"/>
        <w:rPr>
          <w:rFonts w:ascii="Times New Roman" w:hAnsi="Times New Roman"/>
        </w:rPr>
      </w:pPr>
    </w:p>
    <w:p w:rsidR="00375010" w:rsidRPr="001B585F" w:rsidRDefault="00375010" w:rsidP="001B585F">
      <w:pPr>
        <w:rPr>
          <w:rFonts w:ascii="Times New Roman" w:hAnsi="Times New Roman"/>
        </w:rPr>
      </w:pPr>
      <w:r w:rsidRPr="001B585F">
        <w:rPr>
          <w:rFonts w:ascii="Times New Roman" w:hAnsi="Times New Roman"/>
        </w:rPr>
        <w:t>Experimental labour market analysis</w:t>
      </w:r>
      <w:r>
        <w:rPr>
          <w:rFonts w:ascii="Times New Roman" w:hAnsi="Times New Roman"/>
        </w:rPr>
        <w:t xml:space="preserve">: </w:t>
      </w:r>
      <w:r w:rsidRPr="001B585F">
        <w:rPr>
          <w:rFonts w:ascii="Times New Roman" w:hAnsi="Times New Roman"/>
        </w:rPr>
        <w:t>Laboratory experiments have become widely used for examining issues in labour economics. Lab experiments have several advantages over field studies, including (a) reduction or elimination of selection bias problems; (b) tighter control of individuals’ preferences and information; and (c) the possibility of testing institutions that do not currently exist in the outside world. Some top</w:t>
      </w:r>
      <w:r>
        <w:rPr>
          <w:rFonts w:ascii="Times New Roman" w:hAnsi="Times New Roman"/>
        </w:rPr>
        <w:t>ic areas: (others are possible)</w:t>
      </w:r>
    </w:p>
    <w:p w:rsidR="00375010" w:rsidRPr="001B585F" w:rsidRDefault="00375010" w:rsidP="001B585F">
      <w:pPr>
        <w:rPr>
          <w:rFonts w:ascii="Times New Roman" w:hAnsi="Times New Roman"/>
          <w:sz w:val="24"/>
          <w:szCs w:val="24"/>
        </w:rPr>
      </w:pPr>
      <w:r>
        <w:rPr>
          <w:rFonts w:ascii="Times New Roman" w:hAnsi="Times New Roman"/>
          <w:sz w:val="24"/>
          <w:szCs w:val="24"/>
        </w:rPr>
        <w:t xml:space="preserve">1. </w:t>
      </w:r>
      <w:r w:rsidRPr="001B585F">
        <w:rPr>
          <w:rFonts w:ascii="Times New Roman" w:hAnsi="Times New Roman"/>
          <w:sz w:val="24"/>
          <w:szCs w:val="24"/>
        </w:rPr>
        <w:t>The effect of incentive schemes on effort</w:t>
      </w:r>
    </w:p>
    <w:p w:rsidR="00375010" w:rsidRPr="001B585F" w:rsidRDefault="00375010" w:rsidP="001B585F">
      <w:pPr>
        <w:rPr>
          <w:rFonts w:ascii="Times New Roman" w:hAnsi="Times New Roman"/>
        </w:rPr>
      </w:pPr>
      <w:r w:rsidRPr="001B585F">
        <w:rPr>
          <w:rFonts w:ascii="Times New Roman" w:hAnsi="Times New Roman"/>
        </w:rPr>
        <w:t>Microeconomic theory predicts that incentive schemes, by changing the marginal return to worker effort, can affect effort. In particular, worker effort ought to be higher under tournaments (where payment depends on one’s effort relative to the effort of others) compared to piece rates (where payment depends only on one’s own effort). Experiments have confirmed this implication of the theory, but have found other results that are harder to explain. For example, there is some evidence that males prefer tournaments and females prefer piece rates (holding constant the expected payment).</w:t>
      </w:r>
    </w:p>
    <w:p w:rsidR="00375010" w:rsidRPr="001B585F" w:rsidRDefault="00375010" w:rsidP="001B585F">
      <w:pPr>
        <w:rPr>
          <w:rFonts w:ascii="Times New Roman" w:hAnsi="Times New Roman"/>
          <w:sz w:val="24"/>
          <w:szCs w:val="24"/>
        </w:rPr>
      </w:pPr>
      <w:r>
        <w:rPr>
          <w:rFonts w:ascii="Times New Roman" w:hAnsi="Times New Roman"/>
          <w:sz w:val="24"/>
          <w:szCs w:val="24"/>
        </w:rPr>
        <w:t xml:space="preserve">2. </w:t>
      </w:r>
      <w:r w:rsidRPr="001B585F">
        <w:rPr>
          <w:rFonts w:ascii="Times New Roman" w:hAnsi="Times New Roman"/>
          <w:sz w:val="24"/>
          <w:szCs w:val="24"/>
        </w:rPr>
        <w:t>Efficiency wage labour markets</w:t>
      </w:r>
    </w:p>
    <w:p w:rsidR="00375010" w:rsidRPr="001B585F" w:rsidRDefault="00375010" w:rsidP="001B585F">
      <w:pPr>
        <w:rPr>
          <w:rFonts w:ascii="Times New Roman" w:hAnsi="Times New Roman"/>
        </w:rPr>
      </w:pPr>
      <w:r w:rsidRPr="001B585F">
        <w:rPr>
          <w:rFonts w:ascii="Times New Roman" w:hAnsi="Times New Roman"/>
        </w:rPr>
        <w:t>According to efficiency-wage theory, employers pay above-market wages to workers in order to receive high effort from them. This pattern of behaviour can be rational if effort is observable, but completely specified, binding contracts before the fact are not feasible. Experiments have found that worker effort is correlated with wage levels, but interestingly, this is true even when the theoretical prediction is for minimum effort by workers (such as when workers work for only one period, so that there is no credible threat of termination).</w:t>
      </w:r>
    </w:p>
    <w:p w:rsidR="00375010" w:rsidRPr="001B585F" w:rsidRDefault="00375010" w:rsidP="001B585F">
      <w:pPr>
        <w:rPr>
          <w:rFonts w:ascii="Times New Roman" w:hAnsi="Times New Roman"/>
          <w:sz w:val="24"/>
          <w:szCs w:val="24"/>
        </w:rPr>
      </w:pPr>
      <w:r>
        <w:rPr>
          <w:rFonts w:ascii="Times New Roman" w:hAnsi="Times New Roman"/>
          <w:sz w:val="24"/>
          <w:szCs w:val="24"/>
        </w:rPr>
        <w:t xml:space="preserve">3. </w:t>
      </w:r>
      <w:r w:rsidRPr="001B585F">
        <w:rPr>
          <w:rFonts w:ascii="Times New Roman" w:hAnsi="Times New Roman"/>
          <w:sz w:val="24"/>
          <w:szCs w:val="24"/>
        </w:rPr>
        <w:t>Real effort problems</w:t>
      </w:r>
    </w:p>
    <w:p w:rsidR="00375010" w:rsidRPr="001B585F" w:rsidRDefault="00375010" w:rsidP="001B585F">
      <w:pPr>
        <w:rPr>
          <w:rFonts w:ascii="Times New Roman" w:hAnsi="Times New Roman"/>
        </w:rPr>
      </w:pPr>
      <w:r w:rsidRPr="001B585F">
        <w:rPr>
          <w:rFonts w:ascii="Times New Roman" w:hAnsi="Times New Roman"/>
        </w:rPr>
        <w:t>Microeconomic models of labour supply (and many others) treat effort as a cost, expressible in monetary units. Traditionally, experiments have taken this literally, by implementing “effort” as a choice variable with an associated cost function. Some researchers have criticised this interpretation of “effort” as not reflecting the true nature of work. In response, a few experiments have replaced the choice-variable implementation of cost by a “real effort task” in which subjects perform some simple but tedious task (e.g., transcribing a line of text). It remains to be seen whether all results from labour market experiments continue to hold when effort is implemented in this way.</w:t>
      </w:r>
    </w:p>
    <w:p w:rsidR="00375010" w:rsidRPr="001B585F" w:rsidRDefault="00375010" w:rsidP="001B585F">
      <w:pPr>
        <w:rPr>
          <w:rFonts w:ascii="Times New Roman" w:hAnsi="Times New Roman"/>
        </w:rPr>
      </w:pPr>
    </w:p>
    <w:p w:rsidR="00375010" w:rsidRPr="001B585F" w:rsidRDefault="00375010" w:rsidP="001B585F">
      <w:pPr>
        <w:rPr>
          <w:rFonts w:ascii="Times New Roman" w:hAnsi="Times New Roman"/>
          <w:sz w:val="24"/>
          <w:szCs w:val="24"/>
        </w:rPr>
      </w:pPr>
      <w:r>
        <w:rPr>
          <w:rFonts w:ascii="Times New Roman" w:hAnsi="Times New Roman"/>
          <w:sz w:val="24"/>
          <w:szCs w:val="24"/>
        </w:rPr>
        <w:t xml:space="preserve">4. </w:t>
      </w:r>
      <w:r w:rsidRPr="001B585F">
        <w:rPr>
          <w:rFonts w:ascii="Times New Roman" w:hAnsi="Times New Roman"/>
          <w:sz w:val="24"/>
          <w:szCs w:val="24"/>
        </w:rPr>
        <w:t>Labour-management bargaining</w:t>
      </w:r>
    </w:p>
    <w:p w:rsidR="00375010" w:rsidRPr="001B585F" w:rsidRDefault="00375010" w:rsidP="001B585F">
      <w:pPr>
        <w:spacing w:line="240" w:lineRule="auto"/>
        <w:jc w:val="both"/>
        <w:rPr>
          <w:rFonts w:ascii="Times New Roman" w:hAnsi="Times New Roman"/>
        </w:rPr>
      </w:pPr>
      <w:r w:rsidRPr="001B585F">
        <w:rPr>
          <w:rFonts w:ascii="Times New Roman" w:hAnsi="Times New Roman"/>
        </w:rPr>
        <w:t>The bargaining process between representatives of labour and management can be modelled using either cooperative game theory (when the structure of negotiation is not known) or non-cooperative game theory (when it is known). There is a long history of experimental tests of both kinds of bargaining models, but much work remains to be done. Some recent work has examined the effects on bargaining outcomes of changes in how the parties communicate, of changes to their discount rates, and of changes to how the amount being bargained over is framed (e.g., did both parties contribute equally to the surplus, or was it primarily due to the effort of one party).</w:t>
      </w:r>
    </w:p>
    <w:p w:rsidR="00375010" w:rsidRDefault="00375010" w:rsidP="00E15B34">
      <w:pPr>
        <w:jc w:val="both"/>
        <w:rPr>
          <w:rFonts w:ascii="Times New Roman" w:hAnsi="Times New Roman"/>
        </w:rPr>
      </w:pPr>
    </w:p>
    <w:p w:rsidR="00375010" w:rsidRPr="001B585F" w:rsidRDefault="00375010" w:rsidP="001B585F">
      <w:pPr>
        <w:pStyle w:val="HTMLBody"/>
        <w:ind w:right="-108"/>
        <w:rPr>
          <w:rFonts w:ascii="Times New Roman" w:hAnsi="Times New Roman"/>
          <w:lang w:val="en-GB"/>
        </w:rPr>
      </w:pPr>
      <w:r w:rsidRPr="001B585F">
        <w:rPr>
          <w:rFonts w:ascii="Times New Roman" w:hAnsi="Times New Roman"/>
          <w:lang w:val="en-GB"/>
        </w:rPr>
        <w:t>Issues of Health and Safety at Work in a European context</w:t>
      </w:r>
    </w:p>
    <w:p w:rsidR="00375010" w:rsidRPr="00B01CDE" w:rsidRDefault="00375010" w:rsidP="001B585F">
      <w:pPr>
        <w:pStyle w:val="HTMLBody"/>
        <w:ind w:right="-108"/>
        <w:rPr>
          <w:rFonts w:ascii="Times New Roman" w:hAnsi="Times New Roman"/>
          <w:i/>
          <w:sz w:val="22"/>
          <w:lang w:val="en-GB"/>
        </w:rPr>
      </w:pPr>
    </w:p>
    <w:p w:rsidR="00375010" w:rsidRDefault="00375010" w:rsidP="001B585F">
      <w:pPr>
        <w:pStyle w:val="HTMLBody"/>
        <w:ind w:right="-108"/>
        <w:jc w:val="both"/>
        <w:rPr>
          <w:rFonts w:ascii="Times New Roman" w:hAnsi="Times New Roman"/>
          <w:sz w:val="22"/>
          <w:lang w:val="en-GB"/>
        </w:rPr>
      </w:pPr>
      <w:r>
        <w:rPr>
          <w:rFonts w:ascii="Times New Roman" w:hAnsi="Times New Roman"/>
          <w:sz w:val="22"/>
          <w:lang w:val="en-GB"/>
        </w:rPr>
        <w:t>To explore the possibility of developing new health and safety at work indicators using large scale available surveys. Econometric estimation of the relationship between incidence of accidents, illnesses and absenteeism, other health and safety at work indicators and pay using data from European countries; Explore and model interactions between investments on health and safety at work, the incidence of accidents, illnesses and absenteeism and early retirement due to occupational illness/accident.</w:t>
      </w:r>
      <w:r w:rsidRPr="00D772BA">
        <w:rPr>
          <w:rFonts w:ascii="Times New Roman" w:hAnsi="Times New Roman"/>
          <w:sz w:val="22"/>
          <w:lang w:val="en-GB"/>
        </w:rPr>
        <w:t xml:space="preserve"> </w:t>
      </w:r>
    </w:p>
    <w:p w:rsidR="00375010" w:rsidRDefault="00375010" w:rsidP="001B585F"/>
    <w:p w:rsidR="00375010" w:rsidRPr="001B585F" w:rsidRDefault="00375010" w:rsidP="001B585F">
      <w:pPr>
        <w:rPr>
          <w:rFonts w:ascii="Times New Roman" w:hAnsi="Times New Roman"/>
          <w:b/>
          <w:smallCaps/>
        </w:rPr>
      </w:pPr>
      <w:r w:rsidRPr="001B585F">
        <w:rPr>
          <w:rFonts w:ascii="Times New Roman" w:hAnsi="Times New Roman"/>
          <w:b/>
          <w:smallCaps/>
        </w:rPr>
        <w:t>Occupational Mobility, Transferability, Atrophy of Skills, and Gender Differences</w:t>
      </w:r>
    </w:p>
    <w:p w:rsidR="00375010" w:rsidRPr="001B585F" w:rsidRDefault="00375010" w:rsidP="001B585F">
      <w:pPr>
        <w:rPr>
          <w:rFonts w:ascii="Times New Roman" w:hAnsi="Times New Roman"/>
        </w:rPr>
      </w:pPr>
      <w:r w:rsidRPr="001B585F">
        <w:rPr>
          <w:rFonts w:ascii="Times New Roman" w:hAnsi="Times New Roman"/>
        </w:rPr>
        <w:t>In recent years there have been some developments in the labour economics literature on the issue of specificity of the accumulated work experience and its importance in the determination of wages. A number of studies provided evidence highlighting the significance of occupational experience on wages (Shaw, 1984; Williams, 2008; Zangelidis, 2008a, 2008b, Kambourov and Manovskii, 2009). Occupations are found to be an important dimension across which work-accumulated skills are transferable. Furthermore, Shaw (1987) highlighted the importance of the intensity of investment in occupational skills and the transferability of occupational skills in the occupational mobility. This project aims to:</w:t>
      </w:r>
    </w:p>
    <w:p w:rsidR="00375010" w:rsidRPr="001B585F" w:rsidRDefault="00375010" w:rsidP="001B585F">
      <w:pPr>
        <w:pStyle w:val="ListParagraph"/>
        <w:numPr>
          <w:ilvl w:val="0"/>
          <w:numId w:val="1"/>
        </w:numPr>
        <w:jc w:val="both"/>
        <w:rPr>
          <w:rFonts w:ascii="Times New Roman" w:hAnsi="Times New Roman"/>
        </w:rPr>
      </w:pPr>
      <w:r w:rsidRPr="001B585F">
        <w:rPr>
          <w:rFonts w:ascii="Times New Roman" w:hAnsi="Times New Roman"/>
        </w:rPr>
        <w:t>Explore the degree of transferability of occupation-specific skills</w:t>
      </w:r>
    </w:p>
    <w:p w:rsidR="00375010" w:rsidRPr="001B585F" w:rsidRDefault="00375010" w:rsidP="001B585F">
      <w:pPr>
        <w:pStyle w:val="ListParagraph"/>
        <w:numPr>
          <w:ilvl w:val="0"/>
          <w:numId w:val="1"/>
        </w:numPr>
        <w:jc w:val="both"/>
        <w:rPr>
          <w:rFonts w:ascii="Times New Roman" w:hAnsi="Times New Roman"/>
        </w:rPr>
      </w:pPr>
      <w:r w:rsidRPr="001B585F">
        <w:rPr>
          <w:rFonts w:ascii="Times New Roman" w:hAnsi="Times New Roman"/>
        </w:rPr>
        <w:t>Investigate the skills’ atrophy and how that may vary across occupations</w:t>
      </w:r>
    </w:p>
    <w:p w:rsidR="00375010" w:rsidRPr="001B585F" w:rsidRDefault="00375010" w:rsidP="001B585F">
      <w:pPr>
        <w:pStyle w:val="ListParagraph"/>
        <w:numPr>
          <w:ilvl w:val="0"/>
          <w:numId w:val="1"/>
        </w:numPr>
        <w:jc w:val="both"/>
        <w:rPr>
          <w:rFonts w:ascii="Times New Roman" w:hAnsi="Times New Roman"/>
        </w:rPr>
      </w:pPr>
      <w:r w:rsidRPr="001B585F">
        <w:rPr>
          <w:rFonts w:ascii="Times New Roman" w:hAnsi="Times New Roman"/>
        </w:rPr>
        <w:t>Examine individuals’ occupational choices and occupational mobility</w:t>
      </w:r>
    </w:p>
    <w:p w:rsidR="00375010" w:rsidRPr="001B585F" w:rsidRDefault="00375010" w:rsidP="001B585F">
      <w:pPr>
        <w:pStyle w:val="ListParagraph"/>
        <w:numPr>
          <w:ilvl w:val="0"/>
          <w:numId w:val="1"/>
        </w:numPr>
        <w:jc w:val="both"/>
        <w:rPr>
          <w:rFonts w:ascii="Times New Roman" w:hAnsi="Times New Roman"/>
        </w:rPr>
      </w:pPr>
      <w:r w:rsidRPr="001B585F">
        <w:rPr>
          <w:rFonts w:ascii="Times New Roman" w:hAnsi="Times New Roman"/>
        </w:rPr>
        <w:t>Explore gender differences and assess the effect of labour market attachment on occupational mobility</w:t>
      </w:r>
    </w:p>
    <w:p w:rsidR="00375010" w:rsidRPr="001B585F" w:rsidRDefault="00375010" w:rsidP="001B585F">
      <w:pPr>
        <w:jc w:val="both"/>
        <w:rPr>
          <w:rFonts w:ascii="Times New Roman" w:hAnsi="Times New Roman"/>
        </w:rPr>
      </w:pPr>
      <w:r w:rsidRPr="001B585F">
        <w:rPr>
          <w:rFonts w:ascii="Times New Roman" w:hAnsi="Times New Roman"/>
        </w:rPr>
        <w:t xml:space="preserve">The use of the British Household Panel Survey is envisaged. </w:t>
      </w:r>
    </w:p>
    <w:p w:rsidR="00375010" w:rsidRPr="001B585F" w:rsidRDefault="00375010" w:rsidP="001B585F">
      <w:pPr>
        <w:spacing w:line="240" w:lineRule="auto"/>
        <w:jc w:val="both"/>
        <w:rPr>
          <w:rFonts w:ascii="Times New Roman" w:hAnsi="Times New Roman"/>
          <w:b/>
        </w:rPr>
      </w:pPr>
      <w:r w:rsidRPr="001B585F">
        <w:rPr>
          <w:rFonts w:ascii="Times New Roman" w:hAnsi="Times New Roman"/>
          <w:b/>
        </w:rPr>
        <w:t>References</w:t>
      </w:r>
    </w:p>
    <w:p w:rsidR="00375010" w:rsidRPr="001B585F" w:rsidRDefault="00375010" w:rsidP="001B585F">
      <w:pPr>
        <w:spacing w:line="240" w:lineRule="auto"/>
        <w:ind w:left="284" w:hanging="284"/>
        <w:jc w:val="both"/>
        <w:rPr>
          <w:rFonts w:ascii="Times New Roman" w:hAnsi="Times New Roman"/>
        </w:rPr>
      </w:pPr>
      <w:r w:rsidRPr="001B585F">
        <w:rPr>
          <w:rFonts w:ascii="Times New Roman" w:hAnsi="Times New Roman"/>
        </w:rPr>
        <w:t>Kambourov, G., and Manovskii,</w:t>
      </w:r>
      <w:smartTag w:uri="urn:schemas-microsoft-com:office:smarttags" w:element="place">
        <w:r w:rsidRPr="001B585F">
          <w:rPr>
            <w:rFonts w:ascii="Times New Roman" w:hAnsi="Times New Roman"/>
          </w:rPr>
          <w:t>I.</w:t>
        </w:r>
      </w:smartTag>
      <w:r w:rsidRPr="001B585F">
        <w:rPr>
          <w:rFonts w:ascii="Times New Roman" w:hAnsi="Times New Roman"/>
        </w:rPr>
        <w:t>, 2009. Occupational Specificity Of Human Capital. International Economic Review, 50: 63-115.</w:t>
      </w:r>
    </w:p>
    <w:p w:rsidR="00375010" w:rsidRPr="001B585F" w:rsidRDefault="00375010" w:rsidP="001B585F">
      <w:pPr>
        <w:spacing w:line="240" w:lineRule="auto"/>
        <w:ind w:left="284" w:hanging="284"/>
        <w:jc w:val="both"/>
        <w:rPr>
          <w:rFonts w:ascii="Times New Roman" w:hAnsi="Times New Roman"/>
        </w:rPr>
      </w:pPr>
      <w:r w:rsidRPr="001B585F">
        <w:rPr>
          <w:rFonts w:ascii="Times New Roman" w:hAnsi="Times New Roman"/>
        </w:rPr>
        <w:t>Kambourov, G., and Manovskii,</w:t>
      </w:r>
      <w:smartTag w:uri="urn:schemas-microsoft-com:office:smarttags" w:element="place">
        <w:r w:rsidRPr="001B585F">
          <w:rPr>
            <w:rFonts w:ascii="Times New Roman" w:hAnsi="Times New Roman"/>
          </w:rPr>
          <w:t>I.</w:t>
        </w:r>
      </w:smartTag>
      <w:r w:rsidRPr="001B585F">
        <w:rPr>
          <w:rFonts w:ascii="Times New Roman" w:hAnsi="Times New Roman"/>
        </w:rPr>
        <w:t>, 2004. Occupational Mobility and Wage Inequality. IZA Discussion Papers 1189, Institute for the Study of Labor (IZA).</w:t>
      </w:r>
    </w:p>
    <w:p w:rsidR="00375010" w:rsidRPr="001B585F" w:rsidRDefault="00375010" w:rsidP="001B585F">
      <w:pPr>
        <w:spacing w:line="240" w:lineRule="auto"/>
        <w:ind w:left="284" w:hanging="284"/>
        <w:jc w:val="both"/>
        <w:rPr>
          <w:rFonts w:ascii="Times New Roman" w:hAnsi="Times New Roman"/>
        </w:rPr>
      </w:pPr>
      <w:r w:rsidRPr="001B585F">
        <w:rPr>
          <w:rFonts w:ascii="Times New Roman" w:hAnsi="Times New Roman"/>
        </w:rPr>
        <w:t>Shaw, K., 1984. A Formulation of the Earnings Function Using the Concept of Occupational Investment. Journal of Human Resources, 14: 319–40.</w:t>
      </w:r>
    </w:p>
    <w:p w:rsidR="00375010" w:rsidRPr="001B585F" w:rsidRDefault="00375010" w:rsidP="001B585F">
      <w:pPr>
        <w:spacing w:line="240" w:lineRule="auto"/>
        <w:ind w:left="284" w:hanging="284"/>
        <w:jc w:val="both"/>
        <w:rPr>
          <w:rFonts w:ascii="Times New Roman" w:hAnsi="Times New Roman"/>
        </w:rPr>
      </w:pPr>
      <w:r w:rsidRPr="001B585F">
        <w:rPr>
          <w:rFonts w:ascii="Times New Roman" w:hAnsi="Times New Roman"/>
        </w:rPr>
        <w:t>Shaw, K., 1987. Occupational Change, Employer Change, and the Transferability of Skills. Southern Economic Journal, 53: 702–19.</w:t>
      </w:r>
    </w:p>
    <w:p w:rsidR="00375010" w:rsidRPr="001B585F" w:rsidRDefault="00375010" w:rsidP="001B585F">
      <w:pPr>
        <w:spacing w:line="240" w:lineRule="auto"/>
        <w:ind w:left="284" w:hanging="284"/>
        <w:jc w:val="both"/>
        <w:rPr>
          <w:rFonts w:ascii="Times New Roman" w:hAnsi="Times New Roman"/>
        </w:rPr>
      </w:pPr>
      <w:r w:rsidRPr="001B585F">
        <w:rPr>
          <w:rFonts w:ascii="Times New Roman" w:hAnsi="Times New Roman"/>
        </w:rPr>
        <w:t xml:space="preserve">Williams, N., 2008. Seniority, Experience, and Wages in the </w:t>
      </w:r>
      <w:smartTag w:uri="urn:schemas-microsoft-com:office:smarttags" w:element="place">
        <w:smartTag w:uri="urn:schemas-microsoft-com:office:smarttags" w:element="country-region">
          <w:r w:rsidRPr="001B585F">
            <w:rPr>
              <w:rFonts w:ascii="Times New Roman" w:hAnsi="Times New Roman"/>
            </w:rPr>
            <w:t>UK</w:t>
          </w:r>
        </w:smartTag>
      </w:smartTag>
      <w:r w:rsidRPr="001B585F">
        <w:rPr>
          <w:rFonts w:ascii="Times New Roman" w:hAnsi="Times New Roman"/>
        </w:rPr>
        <w:t>. Labour Economics, forthcoming.</w:t>
      </w:r>
    </w:p>
    <w:p w:rsidR="00375010" w:rsidRPr="001B585F" w:rsidRDefault="00375010" w:rsidP="001B585F">
      <w:pPr>
        <w:spacing w:line="240" w:lineRule="auto"/>
        <w:ind w:left="284" w:hanging="284"/>
        <w:jc w:val="both"/>
        <w:rPr>
          <w:rFonts w:ascii="Times New Roman" w:hAnsi="Times New Roman"/>
        </w:rPr>
      </w:pPr>
      <w:r w:rsidRPr="001B585F">
        <w:rPr>
          <w:rFonts w:ascii="Times New Roman" w:hAnsi="Times New Roman"/>
        </w:rPr>
        <w:t>Zangelidis, A., 2008a. Occupational and Industry Specificity of Human Capital in the British labour Market. Scottish Journal of Political Economy, 55: 420–443.</w:t>
      </w:r>
    </w:p>
    <w:p w:rsidR="00375010" w:rsidRPr="001B585F" w:rsidRDefault="00375010" w:rsidP="001B585F">
      <w:pPr>
        <w:spacing w:line="240" w:lineRule="auto"/>
        <w:ind w:left="284" w:hanging="284"/>
        <w:jc w:val="both"/>
        <w:rPr>
          <w:rFonts w:ascii="Times New Roman" w:hAnsi="Times New Roman"/>
        </w:rPr>
      </w:pPr>
      <w:r w:rsidRPr="001B585F">
        <w:rPr>
          <w:rFonts w:ascii="Times New Roman" w:hAnsi="Times New Roman"/>
        </w:rPr>
        <w:t xml:space="preserve">Zangelidis, A., 2008b. Seniority Profiles in Unionised Workplaces: Do Unions Still Have the Edge? </w:t>
      </w:r>
      <w:smartTag w:uri="urn:schemas-microsoft-com:office:smarttags" w:element="place">
        <w:smartTag w:uri="urn:schemas-microsoft-com:office:smarttags" w:element="City">
          <w:r w:rsidRPr="001B585F">
            <w:rPr>
              <w:rFonts w:ascii="Times New Roman" w:hAnsi="Times New Roman"/>
            </w:rPr>
            <w:t>Oxford</w:t>
          </w:r>
        </w:smartTag>
      </w:smartTag>
      <w:r w:rsidRPr="001B585F">
        <w:rPr>
          <w:rFonts w:ascii="Times New Roman" w:hAnsi="Times New Roman"/>
        </w:rPr>
        <w:t xml:space="preserve"> Bulletin of Economics and Statistics, 70: 327–345.</w:t>
      </w:r>
    </w:p>
    <w:p w:rsidR="00375010" w:rsidRPr="001B585F" w:rsidRDefault="00375010" w:rsidP="001B585F">
      <w:pPr>
        <w:spacing w:line="240" w:lineRule="auto"/>
        <w:jc w:val="both"/>
        <w:rPr>
          <w:rFonts w:ascii="Times New Roman" w:hAnsi="Times New Roman"/>
        </w:rPr>
      </w:pPr>
    </w:p>
    <w:sectPr w:rsidR="00375010" w:rsidRPr="001B585F" w:rsidSect="007E07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1DD0"/>
    <w:multiLevelType w:val="hybridMultilevel"/>
    <w:tmpl w:val="E01E8E6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1748"/>
    <w:rsid w:val="000E1090"/>
    <w:rsid w:val="001B585F"/>
    <w:rsid w:val="00375010"/>
    <w:rsid w:val="00422F6E"/>
    <w:rsid w:val="00511E48"/>
    <w:rsid w:val="005C456A"/>
    <w:rsid w:val="00682062"/>
    <w:rsid w:val="006C58A8"/>
    <w:rsid w:val="007E0765"/>
    <w:rsid w:val="00811748"/>
    <w:rsid w:val="00AF0C6B"/>
    <w:rsid w:val="00AF1EA5"/>
    <w:rsid w:val="00B01CDE"/>
    <w:rsid w:val="00C53CB6"/>
    <w:rsid w:val="00D1196C"/>
    <w:rsid w:val="00D772BA"/>
    <w:rsid w:val="00DE3559"/>
    <w:rsid w:val="00E15B34"/>
    <w:rsid w:val="00EB2197"/>
    <w:rsid w:val="00FD3D2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6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uiPriority w:val="99"/>
    <w:rsid w:val="001B585F"/>
    <w:pPr>
      <w:autoSpaceDE w:val="0"/>
      <w:autoSpaceDN w:val="0"/>
      <w:adjustRightInd w:val="0"/>
    </w:pPr>
    <w:rPr>
      <w:rFonts w:ascii="Courier New" w:hAnsi="Courier New"/>
      <w:sz w:val="24"/>
      <w:szCs w:val="24"/>
      <w:lang w:val="en-US" w:eastAsia="en-US"/>
    </w:rPr>
  </w:style>
  <w:style w:type="paragraph" w:styleId="ListParagraph">
    <w:name w:val="List Paragraph"/>
    <w:basedOn w:val="Normal"/>
    <w:uiPriority w:val="99"/>
    <w:qFormat/>
    <w:rsid w:val="001B58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1001</Words>
  <Characters>5710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Listed below are some possible areas of supervision for the SIRE PhD studentship</dc:title>
  <dc:subject/>
  <dc:creator>abc005</dc:creator>
  <cp:keywords/>
  <dc:description/>
  <cp:lastModifiedBy>pec198</cp:lastModifiedBy>
  <cp:revision>4</cp:revision>
  <dcterms:created xsi:type="dcterms:W3CDTF">2009-05-01T14:50:00Z</dcterms:created>
  <dcterms:modified xsi:type="dcterms:W3CDTF">2009-05-01T14:57:00Z</dcterms:modified>
</cp:coreProperties>
</file>